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B6C" w:rsidRDefault="005E6B6C">
      <w:pPr>
        <w:pStyle w:val="BodyText"/>
      </w:pPr>
      <w:r>
        <w:t>Komunikat Zarządu Głównego Polskiego Towarzystwa Anestezjologii i Intensywnej Terapii po spotkaniu z ki</w:t>
      </w:r>
      <w:bookmarkStart w:id="0" w:name="_GoBack"/>
      <w:bookmarkEnd w:id="0"/>
      <w:r>
        <w:t>erownictwem Ministerstwa Zdrowia w dniu 13.03.2015 roku</w:t>
      </w:r>
    </w:p>
    <w:p w:rsidR="005E6B6C" w:rsidRDefault="005E6B6C">
      <w:pPr>
        <w:spacing w:line="360" w:lineRule="auto"/>
        <w:rPr>
          <w:rFonts w:ascii="Times New Roman" w:hAnsi="Times New Roman" w:cs="Times New Roman"/>
          <w:sz w:val="24"/>
          <w:szCs w:val="24"/>
        </w:rPr>
      </w:pPr>
    </w:p>
    <w:p w:rsidR="005E6B6C" w:rsidRDefault="005E6B6C">
      <w:pPr>
        <w:spacing w:line="360" w:lineRule="auto"/>
        <w:ind w:firstLine="708"/>
        <w:jc w:val="both"/>
        <w:rPr>
          <w:rFonts w:ascii="Times New Roman" w:hAnsi="Times New Roman" w:cs="Times New Roman"/>
          <w:color w:val="FF0000"/>
          <w:sz w:val="24"/>
          <w:szCs w:val="24"/>
        </w:rPr>
      </w:pPr>
      <w:r>
        <w:rPr>
          <w:rFonts w:ascii="Times New Roman" w:hAnsi="Times New Roman" w:cs="Times New Roman"/>
          <w:sz w:val="24"/>
          <w:szCs w:val="24"/>
        </w:rPr>
        <w:t xml:space="preserve">W dniu 13.03.2015 roku Zarząd Główny Polskiego Towarzystwa Anestezjologii i Intensywnej Terapii spotkał się w Warszawie z kierownictwem Ministerstwa Zdrowia. Zarząd Główny Polskiego Towarzystwa Anestezjologii i Intensywnej Terapii reprezentowali: prof. dr hab. n. med. Piotr Knapik, prof. dr hab. n. med. Krzysztof Kusza, prof. dr hab. n. med. Maria Wujtewicz, dr hab. n. med. Mariusz Piechota oraz dr n. med. Józef Bojko. Kierownictwo Ministerstwa Zdrowia reprezentowali Podsekretarze Stanu: Igor Radziewicz-Winnicki oraz Anna Łukasik. Spotkanie odbyło się z inicjatywy Zarządu Głównego Polskiego Towarzystwa Anestezjologii i Intensywnej Terapii. </w:t>
      </w:r>
    </w:p>
    <w:p w:rsidR="005E6B6C" w:rsidRDefault="005E6B6C">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wstępie spotkania Prezes Polskiego Towarzystwa Anestezjologii i Intensywnej Terapii, prof. dr hab. n. med. Piotr Knapik zwrócił się do przedstawicieli Ministerstwa z prośbą o wyjaśnienie, dlaczego na stanowisko Konsultanta Krajowego w dziedzinie intensywnej terapii Minister Zdrowia powołał specjalistę w dziedzinie kardiologii, a nie osobę posiadającą specjalizację w dziedzinie intensywnej terapii, zgodnie z </w:t>
      </w:r>
      <w:r>
        <w:rPr>
          <w:rFonts w:ascii="Times New Roman" w:hAnsi="Times New Roman" w:cs="Times New Roman"/>
          <w:i/>
          <w:iCs/>
          <w:sz w:val="24"/>
          <w:szCs w:val="24"/>
        </w:rPr>
        <w:t>przepisem art. 3.1 Ustawy z dnia 6 listopada 2008 r. o konsultantach w ochronie zdrowia</w:t>
      </w:r>
      <w:r>
        <w:rPr>
          <w:rFonts w:ascii="Times New Roman" w:hAnsi="Times New Roman" w:cs="Times New Roman"/>
          <w:sz w:val="24"/>
          <w:szCs w:val="24"/>
        </w:rPr>
        <w:t>, który brzmi: „</w:t>
      </w:r>
      <w:r>
        <w:rPr>
          <w:rFonts w:ascii="Times New Roman" w:hAnsi="Times New Roman" w:cs="Times New Roman"/>
          <w:i/>
          <w:iCs/>
          <w:sz w:val="24"/>
          <w:szCs w:val="24"/>
        </w:rPr>
        <w:t>konsultantem może być osoba, która posiada tytuł specjalisty w danej dziedzinie medycyny, farmacji lub innej dziedzinie mającej zastosowanie w ochronie zdrowia, a w przypadku braku specjalisty w danej dziedzinie – w dziedzinie pokrewnej, oraz daje rękojmię należytego i bezstronnego wykonywania zadań konsultanta</w:t>
      </w:r>
      <w:r>
        <w:rPr>
          <w:rFonts w:ascii="Times New Roman" w:hAnsi="Times New Roman" w:cs="Times New Roman"/>
          <w:sz w:val="24"/>
          <w:szCs w:val="24"/>
        </w:rPr>
        <w:t xml:space="preserve">”, czym złamał przepisy Ustawy oraz zdezawuował wieloletnią pracę, wysiłki i dorobek kilku tysięcy lekarzy posiadających tytuł specjalisty w dziedzinie intensywnej terapii, w skład których wchodzi wielu samodzielnych pracowników nauki. </w:t>
      </w:r>
    </w:p>
    <w:p w:rsidR="005E6B6C" w:rsidRDefault="005E6B6C">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Podsekretarz Stanu Igor Radziewicz-Winnicki nie zgodził się z tezą, iż Minister Zdrowia złamał jakiekolwiek przepisy. Ponadto przedstawił tło, oczekiwania oraz zamierzenia Ministerstwa Zdrowia w związku ze specjalizacją: intensywna terapia. Przedstawione stanowisko było – ku zdziwieniu przedstawicieli Zarządu Głównego PTAiIT - diametralnie różne od wypracowanego i uzgodnionego w dniu 09 maja 2013 r. Według wypowiedzi Podsekretarza Stanu Igora Radziewicza-Winnickiego celem jaki przeświecał Ministerstwu Zdrowia było tylko wykształcenie intensywnych terapeutów w ramach posiadanych specjalności (intensywna terapia kardiologiczna, intensywna terapia neurologiczna, itp.), a nie utrzymanie jednolitej intensywnej terapii w oparciu o dotychczas obowiązującą doktrynę. </w:t>
      </w:r>
    </w:p>
    <w:p w:rsidR="005E6B6C" w:rsidRDefault="005E6B6C">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 związku z powyższym prof. dr hab. n. med. Krzysztof Kusza odczytał przedstawicielom kierownictwa Ministerstwa Zdrowia uzgodnione 9 maja 2013 roku zapisy, które były warunkiem udziału społeczności polskich anestezjologów w projekcie edukacji lekarzy innych specjalności w zakresie intensywnej terapii. Zapisy te brzmiały następująco:</w:t>
      </w:r>
    </w:p>
    <w:p w:rsidR="005E6B6C" w:rsidRDefault="005E6B6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Nowa specjalizacja jest dodatkową ofertą edukacyjną dla wielu specjalistów i jej stworzenie nie ma na celu dezorganizowania budowanych od ponad 50 lat struktur oddziałów anestezjologii i intensywnej terapii.</w:t>
      </w:r>
    </w:p>
    <w:p w:rsidR="005E6B6C" w:rsidRDefault="005E6B6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Nowa specjalizacja, jeśli nie okaże się być martwa tak jak niektóre wcześniej powołane, musi realizować w sposób nieprzerwany minimum 2 letni cykl edukacyjny we wskazanych przez konsultanta krajowego w dziedzinie intensywnej terapii ośrodkach akredytowanych przez Ministerstwo Zdrowia, a będących Oddziałami Anestezjologii i Intensywnej Terapii, które to ośrodki będą gwarancją wyszkolenia specjalisty na oczekiwanym poziomie.</w:t>
      </w:r>
    </w:p>
    <w:p w:rsidR="005E6B6C" w:rsidRDefault="005E6B6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Istnieje tylko jedna doktryna i definicja intensywnej terapii i na potrzeby rozporządzenia nie będzie tworzona inna polska definicja intensywnej terapii.</w:t>
      </w:r>
    </w:p>
    <w:p w:rsidR="005E6B6C" w:rsidRDefault="005E6B6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Propozycja edukacyjna ma służyć rozszerzeniu składu terapeutycznego lekarzy w przestrzeni, jaką jest intensywna terapia i w przyszłości będą oni mogli wspólnie być zatrudnionymi w jednej komórce i pracować na rzecz tego samego chorego w tym samym oddziale, jakim jest dotychczas oddział anestezjologii i intensywnej terapii.</w:t>
      </w:r>
    </w:p>
    <w:p w:rsidR="005E6B6C" w:rsidRDefault="005E6B6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Zgodnie z doktryną ESICM taki sposób postępowania powinien służyć wzrostowi jakości udzielanych świadczeń zdrowotnych na stanowiskach intensywnej terapii przez zespoły wielodyscyplinarne, które połączone są taką samą wiedzą oraz umiejętnościami w zakresie intensywnej terapii.</w:t>
      </w:r>
    </w:p>
    <w:p w:rsidR="005E6B6C" w:rsidRDefault="005E6B6C">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Oferta edukacyjna Ministerstwa Zdrowia nie dotyczy intensywnych terapii sprofilowanych, które w istocie wypełniają definicję podspecjalizacji i jeśli zachodzi potrzeba tworzenia takich profili to powinny one znaleźć miejsce w programach specjalizacji tych dyscyplin medycyny.</w:t>
      </w:r>
    </w:p>
    <w:p w:rsidR="005E6B6C" w:rsidRDefault="005E6B6C">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Spotkanie nie zakończyło się porozumieniem. Podsekretarz Stanu Anna Łukasik poinformowała Zarząd Główny Polskiego Towarzystwa Anestezjologii i Intensywnej Terapii, iż nie jest w stanie w chwili obecnej podjąć żadnej decyzji, w szczególności oczekiwanej przez Zarząd Główny Polskiego Towarzystwa Anestezjologii i Intensywnej Terapii decyzji dotyczącej powołania na stanowisko Konsultanta Krajowego w dziedzinie intensywnej terapii osoby posiadającej tytuł specjalisty z intensywnej terapii. Zaprosiła na przyszłe spotkanie z udziałem m.in. Związku Zawodowego Anestezjologów.</w:t>
      </w:r>
    </w:p>
    <w:p w:rsidR="005E6B6C" w:rsidRDefault="005E6B6C">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Biorąc pod uwagę powyższe Zarząd Główny Polskiego Towarzystwa Anestezjologii i Intensywnej Terapii wycofuje aktualnie swoje poparcie dla projektu edukacji lekarzy innych specjalności w zakresie intensywnej terapii, oraz rekomenduje swoim członkom rezygnację z wszelkich funkcji związanych z projektem edukacji lekarzy innych specjalności w zakresie intensywnej terapii. </w:t>
      </w:r>
    </w:p>
    <w:p w:rsidR="005E6B6C" w:rsidRDefault="005E6B6C">
      <w:pPr>
        <w:spacing w:line="360" w:lineRule="auto"/>
        <w:ind w:firstLine="360"/>
        <w:jc w:val="both"/>
        <w:rPr>
          <w:rFonts w:ascii="Times New Roman" w:hAnsi="Times New Roman" w:cs="Times New Roman"/>
          <w:sz w:val="24"/>
          <w:szCs w:val="24"/>
        </w:rPr>
      </w:pPr>
      <w:r>
        <w:rPr>
          <w:rFonts w:ascii="Times New Roman" w:hAnsi="Times New Roman" w:cs="Times New Roman"/>
          <w:sz w:val="24"/>
          <w:szCs w:val="24"/>
        </w:rPr>
        <w:t>Zarząd Główny Polskiego Towarzystwa Anestezjologii i Intensywnej Terapii zastrzega sobie jednak prawo do zmiany stanowiska po spełnieniu podstawowych warunków niezbędnych do podjęcia dialogu:</w:t>
      </w:r>
    </w:p>
    <w:p w:rsidR="005E6B6C" w:rsidRDefault="005E6B6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Powołania na stanowisko Konsultanta Krajowego w dziedzinie intensywnej terapii osoby posiadającej tytuł specjalisty z intensywnej terapii.</w:t>
      </w:r>
    </w:p>
    <w:p w:rsidR="005E6B6C" w:rsidRDefault="005E6B6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Powrotu do projektu edukacji lekarzy innych specjalności w zakresie intensywnej terapii, który został uzgodniony 9 maja 2013 roku.</w:t>
      </w:r>
    </w:p>
    <w:p w:rsidR="005E6B6C" w:rsidRDefault="005E6B6C">
      <w:pPr>
        <w:spacing w:line="360" w:lineRule="auto"/>
        <w:jc w:val="center"/>
        <w:rPr>
          <w:rFonts w:ascii="Times New Roman" w:hAnsi="Times New Roman" w:cs="Times New Roman"/>
          <w:sz w:val="24"/>
          <w:szCs w:val="24"/>
        </w:rPr>
      </w:pPr>
    </w:p>
    <w:p w:rsidR="005E6B6C" w:rsidRDefault="005E6B6C">
      <w:pPr>
        <w:spacing w:line="360" w:lineRule="auto"/>
        <w:jc w:val="center"/>
        <w:rPr>
          <w:rFonts w:ascii="Times New Roman" w:hAnsi="Times New Roman" w:cs="Times New Roman"/>
          <w:sz w:val="24"/>
          <w:szCs w:val="24"/>
        </w:rPr>
      </w:pPr>
    </w:p>
    <w:sectPr w:rsidR="005E6B6C" w:rsidSect="005E6B6C">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B6C" w:rsidRDefault="005E6B6C" w:rsidP="005E6B6C">
      <w:pPr>
        <w:spacing w:after="0" w:line="240" w:lineRule="auto"/>
      </w:pPr>
      <w:r>
        <w:separator/>
      </w:r>
    </w:p>
  </w:endnote>
  <w:endnote w:type="continuationSeparator" w:id="0">
    <w:p w:rsidR="005E6B6C" w:rsidRDefault="005E6B6C" w:rsidP="005E6B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B6C" w:rsidRDefault="005E6B6C" w:rsidP="005E6B6C">
      <w:pPr>
        <w:spacing w:after="0" w:line="240" w:lineRule="auto"/>
      </w:pPr>
      <w:r>
        <w:separator/>
      </w:r>
    </w:p>
  </w:footnote>
  <w:footnote w:type="continuationSeparator" w:id="0">
    <w:p w:rsidR="005E6B6C" w:rsidRDefault="005E6B6C" w:rsidP="005E6B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B6C" w:rsidRDefault="005E6B6C">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5E6B6C" w:rsidRDefault="005E6B6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55483"/>
    <w:multiLevelType w:val="hybridMultilevel"/>
    <w:tmpl w:val="C0A8A3DA"/>
    <w:lvl w:ilvl="0" w:tplc="0415000F">
      <w:start w:val="1"/>
      <w:numFmt w:val="decimal"/>
      <w:lvlText w:val="%1."/>
      <w:lvlJc w:val="left"/>
      <w:pPr>
        <w:ind w:left="720" w:hanging="360"/>
      </w:pPr>
      <w:rPr>
        <w:rFonts w:ascii="Times New Roman" w:hAnsi="Times New Roman" w:hint="default"/>
      </w:rPr>
    </w:lvl>
    <w:lvl w:ilvl="1" w:tplc="04150019">
      <w:start w:val="1"/>
      <w:numFmt w:val="lowerLetter"/>
      <w:lvlText w:val="%2."/>
      <w:lvlJc w:val="left"/>
      <w:pPr>
        <w:ind w:left="1440" w:hanging="360"/>
      </w:pPr>
      <w:rPr>
        <w:rFonts w:ascii="Times New Roman" w:hAnsi="Times New Roman"/>
      </w:rPr>
    </w:lvl>
    <w:lvl w:ilvl="2" w:tplc="0415001B">
      <w:start w:val="1"/>
      <w:numFmt w:val="lowerRoman"/>
      <w:lvlText w:val="%3."/>
      <w:lvlJc w:val="right"/>
      <w:pPr>
        <w:ind w:left="2160" w:hanging="180"/>
      </w:pPr>
      <w:rPr>
        <w:rFonts w:ascii="Times New Roman" w:hAnsi="Times New Roman"/>
      </w:rPr>
    </w:lvl>
    <w:lvl w:ilvl="3" w:tplc="0415000F">
      <w:start w:val="1"/>
      <w:numFmt w:val="decimal"/>
      <w:lvlText w:val="%4."/>
      <w:lvlJc w:val="left"/>
      <w:pPr>
        <w:ind w:left="2880" w:hanging="360"/>
      </w:pPr>
      <w:rPr>
        <w:rFonts w:ascii="Times New Roman" w:hAnsi="Times New Roman"/>
      </w:rPr>
    </w:lvl>
    <w:lvl w:ilvl="4" w:tplc="04150019">
      <w:start w:val="1"/>
      <w:numFmt w:val="lowerLetter"/>
      <w:lvlText w:val="%5."/>
      <w:lvlJc w:val="left"/>
      <w:pPr>
        <w:ind w:left="3600" w:hanging="360"/>
      </w:pPr>
      <w:rPr>
        <w:rFonts w:ascii="Times New Roman" w:hAnsi="Times New Roman"/>
      </w:rPr>
    </w:lvl>
    <w:lvl w:ilvl="5" w:tplc="0415001B">
      <w:start w:val="1"/>
      <w:numFmt w:val="lowerRoman"/>
      <w:lvlText w:val="%6."/>
      <w:lvlJc w:val="right"/>
      <w:pPr>
        <w:ind w:left="4320" w:hanging="180"/>
      </w:pPr>
      <w:rPr>
        <w:rFonts w:ascii="Times New Roman" w:hAnsi="Times New Roman"/>
      </w:rPr>
    </w:lvl>
    <w:lvl w:ilvl="6" w:tplc="0415000F">
      <w:start w:val="1"/>
      <w:numFmt w:val="decimal"/>
      <w:lvlText w:val="%7."/>
      <w:lvlJc w:val="left"/>
      <w:pPr>
        <w:ind w:left="5040" w:hanging="360"/>
      </w:pPr>
      <w:rPr>
        <w:rFonts w:ascii="Times New Roman" w:hAnsi="Times New Roman"/>
      </w:rPr>
    </w:lvl>
    <w:lvl w:ilvl="7" w:tplc="04150019">
      <w:start w:val="1"/>
      <w:numFmt w:val="lowerLetter"/>
      <w:lvlText w:val="%8."/>
      <w:lvlJc w:val="left"/>
      <w:pPr>
        <w:ind w:left="5760" w:hanging="360"/>
      </w:pPr>
      <w:rPr>
        <w:rFonts w:ascii="Times New Roman" w:hAnsi="Times New Roman"/>
      </w:rPr>
    </w:lvl>
    <w:lvl w:ilvl="8" w:tplc="0415001B">
      <w:start w:val="1"/>
      <w:numFmt w:val="lowerRoman"/>
      <w:lvlText w:val="%9."/>
      <w:lvlJc w:val="right"/>
      <w:pPr>
        <w:ind w:left="6480" w:hanging="180"/>
      </w:pPr>
      <w:rPr>
        <w:rFonts w:ascii="Times New Roman" w:hAnsi="Times New Roman"/>
      </w:rPr>
    </w:lvl>
  </w:abstractNum>
  <w:abstractNum w:abstractNumId="1">
    <w:nsid w:val="507E3813"/>
    <w:multiLevelType w:val="hybridMultilevel"/>
    <w:tmpl w:val="68608640"/>
    <w:lvl w:ilvl="0" w:tplc="0415000F">
      <w:start w:val="1"/>
      <w:numFmt w:val="decimal"/>
      <w:lvlText w:val="%1."/>
      <w:lvlJc w:val="left"/>
      <w:pPr>
        <w:ind w:left="360" w:hanging="360"/>
      </w:pPr>
      <w:rPr>
        <w:rFonts w:ascii="Times New Roman" w:hAnsi="Times New Roman" w:hint="default"/>
      </w:rPr>
    </w:lvl>
    <w:lvl w:ilvl="1" w:tplc="04150019">
      <w:start w:val="1"/>
      <w:numFmt w:val="lowerLetter"/>
      <w:lvlText w:val="%2."/>
      <w:lvlJc w:val="left"/>
      <w:pPr>
        <w:ind w:left="1080" w:hanging="360"/>
      </w:pPr>
      <w:rPr>
        <w:rFonts w:ascii="Times New Roman" w:hAnsi="Times New Roman"/>
      </w:rPr>
    </w:lvl>
    <w:lvl w:ilvl="2" w:tplc="0415001B">
      <w:start w:val="1"/>
      <w:numFmt w:val="lowerRoman"/>
      <w:lvlText w:val="%3."/>
      <w:lvlJc w:val="right"/>
      <w:pPr>
        <w:ind w:left="1800" w:hanging="180"/>
      </w:pPr>
      <w:rPr>
        <w:rFonts w:ascii="Times New Roman" w:hAnsi="Times New Roman"/>
      </w:rPr>
    </w:lvl>
    <w:lvl w:ilvl="3" w:tplc="0415000F">
      <w:start w:val="1"/>
      <w:numFmt w:val="decimal"/>
      <w:lvlText w:val="%4."/>
      <w:lvlJc w:val="left"/>
      <w:pPr>
        <w:ind w:left="2520" w:hanging="360"/>
      </w:pPr>
      <w:rPr>
        <w:rFonts w:ascii="Times New Roman" w:hAnsi="Times New Roman"/>
      </w:rPr>
    </w:lvl>
    <w:lvl w:ilvl="4" w:tplc="04150019">
      <w:start w:val="1"/>
      <w:numFmt w:val="lowerLetter"/>
      <w:lvlText w:val="%5."/>
      <w:lvlJc w:val="left"/>
      <w:pPr>
        <w:ind w:left="3240" w:hanging="360"/>
      </w:pPr>
      <w:rPr>
        <w:rFonts w:ascii="Times New Roman" w:hAnsi="Times New Roman"/>
      </w:rPr>
    </w:lvl>
    <w:lvl w:ilvl="5" w:tplc="0415001B">
      <w:start w:val="1"/>
      <w:numFmt w:val="lowerRoman"/>
      <w:lvlText w:val="%6."/>
      <w:lvlJc w:val="right"/>
      <w:pPr>
        <w:ind w:left="3960" w:hanging="180"/>
      </w:pPr>
      <w:rPr>
        <w:rFonts w:ascii="Times New Roman" w:hAnsi="Times New Roman"/>
      </w:rPr>
    </w:lvl>
    <w:lvl w:ilvl="6" w:tplc="0415000F">
      <w:start w:val="1"/>
      <w:numFmt w:val="decimal"/>
      <w:lvlText w:val="%7."/>
      <w:lvlJc w:val="left"/>
      <w:pPr>
        <w:ind w:left="4680" w:hanging="360"/>
      </w:pPr>
      <w:rPr>
        <w:rFonts w:ascii="Times New Roman" w:hAnsi="Times New Roman"/>
      </w:rPr>
    </w:lvl>
    <w:lvl w:ilvl="7" w:tplc="04150019">
      <w:start w:val="1"/>
      <w:numFmt w:val="lowerLetter"/>
      <w:lvlText w:val="%8."/>
      <w:lvlJc w:val="left"/>
      <w:pPr>
        <w:ind w:left="5400" w:hanging="360"/>
      </w:pPr>
      <w:rPr>
        <w:rFonts w:ascii="Times New Roman" w:hAnsi="Times New Roman"/>
      </w:rPr>
    </w:lvl>
    <w:lvl w:ilvl="8" w:tplc="0415001B">
      <w:start w:val="1"/>
      <w:numFmt w:val="lowerRoman"/>
      <w:lvlText w:val="%9."/>
      <w:lvlJc w:val="right"/>
      <w:pPr>
        <w:ind w:left="6120" w:hanging="180"/>
      </w:pPr>
      <w:rPr>
        <w:rFonts w:ascii="Times New Roman" w:hAnsi="Times New Roman"/>
      </w:rPr>
    </w:lvl>
  </w:abstractNum>
  <w:abstractNum w:abstractNumId="2">
    <w:nsid w:val="6FE15EC5"/>
    <w:multiLevelType w:val="hybridMultilevel"/>
    <w:tmpl w:val="5CCE9E04"/>
    <w:lvl w:ilvl="0" w:tplc="0415000F">
      <w:start w:val="1"/>
      <w:numFmt w:val="decimal"/>
      <w:lvlText w:val="%1."/>
      <w:lvlJc w:val="left"/>
      <w:pPr>
        <w:ind w:left="360" w:hanging="360"/>
      </w:pPr>
      <w:rPr>
        <w:rFonts w:ascii="Times New Roman" w:hAnsi="Times New Roman" w:hint="default"/>
      </w:rPr>
    </w:lvl>
    <w:lvl w:ilvl="1" w:tplc="04150019">
      <w:start w:val="1"/>
      <w:numFmt w:val="lowerLetter"/>
      <w:lvlText w:val="%2."/>
      <w:lvlJc w:val="left"/>
      <w:pPr>
        <w:ind w:left="1080" w:hanging="360"/>
      </w:pPr>
      <w:rPr>
        <w:rFonts w:ascii="Times New Roman" w:hAnsi="Times New Roman"/>
      </w:rPr>
    </w:lvl>
    <w:lvl w:ilvl="2" w:tplc="0415001B">
      <w:start w:val="1"/>
      <w:numFmt w:val="lowerRoman"/>
      <w:lvlText w:val="%3."/>
      <w:lvlJc w:val="right"/>
      <w:pPr>
        <w:ind w:left="1800" w:hanging="180"/>
      </w:pPr>
      <w:rPr>
        <w:rFonts w:ascii="Times New Roman" w:hAnsi="Times New Roman"/>
      </w:rPr>
    </w:lvl>
    <w:lvl w:ilvl="3" w:tplc="0415000F">
      <w:start w:val="1"/>
      <w:numFmt w:val="decimal"/>
      <w:lvlText w:val="%4."/>
      <w:lvlJc w:val="left"/>
      <w:pPr>
        <w:ind w:left="2520" w:hanging="360"/>
      </w:pPr>
      <w:rPr>
        <w:rFonts w:ascii="Times New Roman" w:hAnsi="Times New Roman"/>
      </w:rPr>
    </w:lvl>
    <w:lvl w:ilvl="4" w:tplc="04150019">
      <w:start w:val="1"/>
      <w:numFmt w:val="lowerLetter"/>
      <w:lvlText w:val="%5."/>
      <w:lvlJc w:val="left"/>
      <w:pPr>
        <w:ind w:left="3240" w:hanging="360"/>
      </w:pPr>
      <w:rPr>
        <w:rFonts w:ascii="Times New Roman" w:hAnsi="Times New Roman"/>
      </w:rPr>
    </w:lvl>
    <w:lvl w:ilvl="5" w:tplc="0415001B">
      <w:start w:val="1"/>
      <w:numFmt w:val="lowerRoman"/>
      <w:lvlText w:val="%6."/>
      <w:lvlJc w:val="right"/>
      <w:pPr>
        <w:ind w:left="3960" w:hanging="180"/>
      </w:pPr>
      <w:rPr>
        <w:rFonts w:ascii="Times New Roman" w:hAnsi="Times New Roman"/>
      </w:rPr>
    </w:lvl>
    <w:lvl w:ilvl="6" w:tplc="0415000F">
      <w:start w:val="1"/>
      <w:numFmt w:val="decimal"/>
      <w:lvlText w:val="%7."/>
      <w:lvlJc w:val="left"/>
      <w:pPr>
        <w:ind w:left="4680" w:hanging="360"/>
      </w:pPr>
      <w:rPr>
        <w:rFonts w:ascii="Times New Roman" w:hAnsi="Times New Roman"/>
      </w:rPr>
    </w:lvl>
    <w:lvl w:ilvl="7" w:tplc="04150019">
      <w:start w:val="1"/>
      <w:numFmt w:val="lowerLetter"/>
      <w:lvlText w:val="%8."/>
      <w:lvlJc w:val="left"/>
      <w:pPr>
        <w:ind w:left="5400" w:hanging="360"/>
      </w:pPr>
      <w:rPr>
        <w:rFonts w:ascii="Times New Roman" w:hAnsi="Times New Roman"/>
      </w:rPr>
    </w:lvl>
    <w:lvl w:ilvl="8" w:tplc="0415001B">
      <w:start w:val="1"/>
      <w:numFmt w:val="lowerRoman"/>
      <w:lvlText w:val="%9."/>
      <w:lvlJc w:val="right"/>
      <w:pPr>
        <w:ind w:left="6120" w:hanging="180"/>
      </w:pPr>
      <w:rPr>
        <w:rFonts w:ascii="Times New Roman" w:hAnsi="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6B6C"/>
    <w:rsid w:val="005E6B6C"/>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cs="Calibri"/>
      <w:lang w:eastAsia="en-U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Pr>
      <w:rFonts w:ascii="Times New Roman" w:hAnsi="Times New Roman" w:cs="Times New Roman"/>
      <w:b/>
      <w:bCs/>
    </w:rPr>
  </w:style>
  <w:style w:type="paragraph" w:styleId="NormalWeb">
    <w:name w:val="Normal (Web)"/>
    <w:basedOn w:val="Normal"/>
    <w:uiPriority w:val="99"/>
    <w:pPr>
      <w:spacing w:before="100" w:beforeAutospacing="1" w:after="100" w:afterAutospacing="1" w:line="240" w:lineRule="auto"/>
    </w:pPr>
    <w:rPr>
      <w:rFonts w:cstheme="minorBidi"/>
      <w:sz w:val="24"/>
      <w:szCs w:val="24"/>
      <w:lang w:eastAsia="pl-PL"/>
    </w:rPr>
  </w:style>
  <w:style w:type="paragraph" w:customStyle="1" w:styleId="Default">
    <w:name w:val="Default"/>
    <w:uiPriority w:val="99"/>
    <w:pPr>
      <w:autoSpaceDE w:val="0"/>
      <w:autoSpaceDN w:val="0"/>
      <w:adjustRightInd w:val="0"/>
    </w:pPr>
    <w:rPr>
      <w:rFonts w:ascii="Calibri" w:hAnsi="Calibri"/>
      <w:color w:val="000000"/>
      <w:sz w:val="24"/>
      <w:szCs w:val="24"/>
      <w:lang w:eastAsia="en-US"/>
    </w:rPr>
  </w:style>
  <w:style w:type="paragraph" w:styleId="ListParagraph">
    <w:name w:val="List Paragraph"/>
    <w:basedOn w:val="Normal"/>
    <w:uiPriority w:val="99"/>
    <w:qFormat/>
    <w:pPr>
      <w:ind w:left="720"/>
    </w:pPr>
  </w:style>
  <w:style w:type="paragraph" w:styleId="BodyText">
    <w:name w:val="Body Text"/>
    <w:basedOn w:val="Normal"/>
    <w:link w:val="BodyTextChar"/>
    <w:uiPriority w:val="99"/>
    <w:pPr>
      <w:spacing w:line="360" w:lineRule="auto"/>
      <w:jc w:val="center"/>
    </w:pPr>
    <w:rPr>
      <w:rFonts w:cstheme="minorBidi"/>
      <w:b/>
      <w:bCs/>
      <w:sz w:val="24"/>
      <w:szCs w:val="24"/>
    </w:rPr>
  </w:style>
  <w:style w:type="character" w:customStyle="1" w:styleId="BodyTextChar">
    <w:name w:val="Body Text Char"/>
    <w:basedOn w:val="DefaultParagraphFont"/>
    <w:link w:val="BodyText"/>
    <w:uiPriority w:val="99"/>
    <w:rPr>
      <w:rFonts w:ascii="Calibri" w:hAnsi="Calibri" w:cs="Calibri"/>
      <w:lang w:eastAsia="en-US"/>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semiHidden/>
    <w:rsid w:val="005E6B6C"/>
    <w:rPr>
      <w:rFonts w:ascii="Calibri" w:hAnsi="Calibri" w:cs="Calibri"/>
      <w:lang w:eastAsia="en-US"/>
    </w:rPr>
  </w:style>
  <w:style w:type="character" w:styleId="PageNumber">
    <w:name w:val="page number"/>
    <w:basedOn w:val="DefaultParagraphFont"/>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55</TotalTime>
  <Pages>3</Pages>
  <Words>875</Words>
  <Characters>4993</Characters>
  <Application>Microsoft Office Outlook</Application>
  <DocSecurity>0</DocSecurity>
  <Lines>0</Lines>
  <Paragraphs>0</Paragraphs>
  <ScaleCrop>false</ScaleCrop>
  <Company>SCCS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Komunikat Zarządu Głównego Polskiego Towarzystwa Anestezjologii i Intensywnej Terapii po spotkaniu z kierownictwem Ministerstw</dc:title>
  <dc:subject/>
  <dc:creator>Konto Microsoft</dc:creator>
  <cp:keywords/>
  <dc:description/>
  <cp:lastModifiedBy>Piotr Knapik</cp:lastModifiedBy>
  <cp:revision>9</cp:revision>
  <dcterms:created xsi:type="dcterms:W3CDTF">2015-03-13T17:49:00Z</dcterms:created>
  <dcterms:modified xsi:type="dcterms:W3CDTF">2015-03-13T18:48:00Z</dcterms:modified>
</cp:coreProperties>
</file>